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SimSun"/>
          <w:lang w:eastAsia="zh-CN"/>
        </w:rPr>
      </w:pPr>
      <w:bookmarkStart w:id="0" w:name="_Ref399006623"/>
      <w:bookmarkStart w:id="1" w:name="_Toc92513360"/>
      <w:r w:rsidRPr="0004538C">
        <w:t xml:space="preserve">3GPP TSG-RAN WG4 Meeting </w:t>
      </w:r>
      <w:r w:rsidR="00A57F1A" w:rsidRPr="00FA639F">
        <w:t>#</w:t>
      </w:r>
      <w:r w:rsidR="00BC45C8">
        <w:rPr>
          <w:rFonts w:cs="Arial"/>
          <w:sz w:val="20"/>
        </w:rPr>
        <w:t>9</w:t>
      </w:r>
      <w:r w:rsidR="00F21B8F">
        <w:rPr>
          <w:rFonts w:cs="Arial"/>
          <w:sz w:val="20"/>
        </w:rPr>
        <w:t>8</w:t>
      </w:r>
      <w:r w:rsidR="00D34BEE">
        <w:rPr>
          <w:rFonts w:cs="Arial"/>
          <w:sz w:val="20"/>
        </w:rPr>
        <w:t>-e</w:t>
      </w:r>
      <w:r w:rsidR="00AB5F26">
        <w:rPr>
          <w:rFonts w:cs="Arial"/>
          <w:sz w:val="20"/>
        </w:rPr>
        <w:t xml:space="preserve">    </w:t>
      </w:r>
      <w:r>
        <w:rPr>
          <w:rFonts w:eastAsia="SimSun" w:hint="eastAsia"/>
          <w:lang w:eastAsia="zh-CN"/>
        </w:rPr>
        <w:t xml:space="preserve">                             </w:t>
      </w:r>
      <w:r w:rsidR="00F25F40" w:rsidRPr="0030744C">
        <w:rPr>
          <w:rFonts w:eastAsia="SimSun" w:hint="eastAsia"/>
          <w:lang w:eastAsia="zh-CN"/>
        </w:rPr>
        <w:t xml:space="preserve">  </w:t>
      </w:r>
      <w:r w:rsidR="00AE16DB">
        <w:rPr>
          <w:rFonts w:eastAsia="SimSun"/>
          <w:lang w:eastAsia="zh-CN"/>
        </w:rPr>
        <w:t xml:space="preserve">    </w:t>
      </w:r>
      <w:r w:rsidR="006E7E6F">
        <w:rPr>
          <w:rFonts w:eastAsia="SimSun"/>
          <w:lang w:eastAsia="zh-CN"/>
        </w:rPr>
        <w:t xml:space="preserve">  </w:t>
      </w:r>
      <w:r w:rsidR="00AE16DB">
        <w:rPr>
          <w:rFonts w:eastAsia="SimSun"/>
          <w:lang w:eastAsia="zh-CN"/>
        </w:rPr>
        <w:t xml:space="preserve"> </w:t>
      </w:r>
      <w:r w:rsidR="00FD5585" w:rsidRPr="00FD5585">
        <w:t>R4-</w:t>
      </w:r>
      <w:r w:rsidR="0095747B" w:rsidRPr="0095747B">
        <w:t xml:space="preserve"> 2102287</w:t>
      </w:r>
    </w:p>
    <w:p w:rsidR="00675C27" w:rsidRPr="00444A16" w:rsidRDefault="00F21B8F" w:rsidP="00F71A33">
      <w:pPr>
        <w:pStyle w:val="a1"/>
        <w:rPr>
          <w:rFonts w:eastAsia="SimSun"/>
          <w:lang w:eastAsia="zh-CN"/>
        </w:rPr>
      </w:pPr>
      <w:r w:rsidRPr="00E422AE">
        <w:rPr>
          <w:rFonts w:eastAsia="SimSun"/>
          <w:lang w:eastAsia="zh-CN"/>
        </w:rPr>
        <w:t>Electronic Meeting, Jan. 25-Feb. 5, 2021</w:t>
      </w:r>
    </w:p>
    <w:p w:rsidR="00F71A33" w:rsidRPr="00F71A33" w:rsidRDefault="00F71A33" w:rsidP="00F71A33">
      <w:pPr>
        <w:pStyle w:val="a1"/>
        <w:rPr>
          <w:rFonts w:eastAsia="SimSun"/>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95747B">
        <w:rPr>
          <w:rFonts w:ascii="Arial" w:hAnsi="Arial" w:cs="Arial"/>
          <w:sz w:val="22"/>
        </w:rPr>
        <w:t>S</w:t>
      </w:r>
      <w:bookmarkStart w:id="2" w:name="_GoBack"/>
      <w:bookmarkEnd w:id="2"/>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35E6D">
        <w:rPr>
          <w:rFonts w:ascii="Arial" w:hAnsi="Arial"/>
          <w:sz w:val="24"/>
          <w:lang w:val="en-US"/>
        </w:rPr>
        <w:t>O</w:t>
      </w:r>
      <w:r w:rsidR="00135E6D" w:rsidRPr="005A67F8">
        <w:rPr>
          <w:rFonts w:ascii="Arial" w:hAnsi="Arial"/>
          <w:sz w:val="24"/>
          <w:lang w:val="en-US"/>
        </w:rPr>
        <w:t>n the SAR solutions for UL</w:t>
      </w:r>
      <w:r w:rsidR="003B37F6">
        <w:rPr>
          <w:rFonts w:ascii="Arial" w:hAnsi="Arial"/>
          <w:sz w:val="24"/>
          <w:lang w:val="en-US"/>
        </w:rPr>
        <w:t xml:space="preserve"> CA</w:t>
      </w:r>
      <w:r w:rsidR="00135E6D" w:rsidRPr="005A67F8">
        <w:rPr>
          <w:rFonts w:ascii="Arial" w:hAnsi="Arial"/>
          <w:sz w:val="24"/>
          <w:lang w:val="en-US"/>
        </w:rPr>
        <w:t xml:space="preserve"> band combinations</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4332E3">
        <w:rPr>
          <w:rFonts w:ascii="Arial" w:hAnsi="Arial" w:cs="Arial"/>
          <w:sz w:val="22"/>
        </w:rPr>
        <w:t>9</w:t>
      </w:r>
      <w:r w:rsidR="00A74A18" w:rsidRPr="00A74A18">
        <w:rPr>
          <w:rFonts w:ascii="Arial" w:hAnsi="Arial" w:cs="Arial"/>
          <w:sz w:val="22"/>
        </w:rPr>
        <w:t>.</w:t>
      </w:r>
      <w:r w:rsidR="004332E3">
        <w:rPr>
          <w:rFonts w:ascii="Arial" w:hAnsi="Arial" w:cs="Arial"/>
          <w:sz w:val="22"/>
        </w:rPr>
        <w:t>18</w:t>
      </w:r>
      <w:r w:rsidR="00A74A18" w:rsidRPr="00A74A18">
        <w:rPr>
          <w:rFonts w:ascii="Arial" w:hAnsi="Arial" w:cs="Arial"/>
          <w:sz w:val="22"/>
        </w:rPr>
        <w:t>.</w:t>
      </w:r>
      <w:r w:rsidR="004332E3">
        <w:rPr>
          <w:rFonts w:ascii="Arial" w:hAnsi="Arial" w:cs="Arial"/>
          <w:sz w:val="22"/>
        </w:rPr>
        <w:t>2</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SimSun"/>
          <w:lang w:eastAsia="zh-CN"/>
        </w:rPr>
      </w:pPr>
      <w:r>
        <w:rPr>
          <w:rFonts w:eastAsia="SimSun" w:hint="eastAsia"/>
          <w:lang w:eastAsia="zh-CN"/>
        </w:rPr>
        <w:t>Introduction</w:t>
      </w:r>
    </w:p>
    <w:p w:rsidR="009A089A" w:rsidRDefault="00A07FC8" w:rsidP="009A089A">
      <w:r>
        <w:t>WF on SAR solutions for PC2 NR inter-band CA and SUL configurations has been discussed in last meeting [1] and some options are listed in the WF for further study, i.e.</w:t>
      </w:r>
    </w:p>
    <w:p w:rsidR="00A07FC8" w:rsidRPr="00610C15" w:rsidRDefault="00A07FC8" w:rsidP="00A07FC8">
      <w:pPr>
        <w:numPr>
          <w:ilvl w:val="0"/>
          <w:numId w:val="43"/>
        </w:numPr>
        <w:overflowPunct/>
        <w:autoSpaceDE/>
        <w:autoSpaceDN/>
        <w:adjustRightInd/>
        <w:ind w:leftChars="20" w:left="40" w:firstLine="386"/>
        <w:jc w:val="both"/>
        <w:textAlignment w:val="auto"/>
        <w:rPr>
          <w:i/>
          <w:szCs w:val="22"/>
          <w:lang w:val="en-US"/>
        </w:rPr>
      </w:pPr>
      <w:r w:rsidRPr="00610C15">
        <w:rPr>
          <w:i/>
          <w:szCs w:val="22"/>
        </w:rPr>
        <w:t>Duty Cycle based solutions</w:t>
      </w:r>
    </w:p>
    <w:p w:rsidR="00A07FC8" w:rsidRPr="00610C15" w:rsidRDefault="00A07FC8" w:rsidP="00A07FC8">
      <w:pPr>
        <w:numPr>
          <w:ilvl w:val="1"/>
          <w:numId w:val="43"/>
        </w:numPr>
        <w:overflowPunct/>
        <w:autoSpaceDE/>
        <w:autoSpaceDN/>
        <w:adjustRightInd/>
        <w:jc w:val="both"/>
        <w:textAlignment w:val="auto"/>
        <w:rPr>
          <w:i/>
          <w:szCs w:val="22"/>
          <w:lang w:val="en-US"/>
        </w:rPr>
      </w:pPr>
      <w:r w:rsidRPr="00610C15">
        <w:rPr>
          <w:i/>
          <w:szCs w:val="22"/>
        </w:rPr>
        <w:t>Option 1: Report the duty cycle capability per band combination (CTC, Intel, ZTE, Huawei, Apple)</w:t>
      </w:r>
    </w:p>
    <w:p w:rsidR="00A07FC8" w:rsidRPr="00610C15" w:rsidRDefault="00A07FC8" w:rsidP="00A07FC8">
      <w:pPr>
        <w:numPr>
          <w:ilvl w:val="2"/>
          <w:numId w:val="43"/>
        </w:numPr>
        <w:overflowPunct/>
        <w:autoSpaceDE/>
        <w:autoSpaceDN/>
        <w:adjustRightInd/>
        <w:jc w:val="both"/>
        <w:textAlignment w:val="auto"/>
        <w:rPr>
          <w:i/>
          <w:szCs w:val="22"/>
          <w:lang w:val="en-US"/>
        </w:rPr>
      </w:pPr>
      <w:r w:rsidRPr="00610C15">
        <w:rPr>
          <w:i/>
          <w:szCs w:val="22"/>
        </w:rPr>
        <w:t>Main issue commented by companies</w:t>
      </w:r>
      <w:r w:rsidRPr="00610C15">
        <w:rPr>
          <w:rFonts w:hint="eastAsia"/>
          <w:i/>
          <w:szCs w:val="22"/>
          <w:lang w:val="en-US"/>
        </w:rPr>
        <w:t>：</w:t>
      </w:r>
      <w:r w:rsidRPr="00610C15">
        <w:rPr>
          <w:i/>
          <w:szCs w:val="22"/>
        </w:rPr>
        <w:t>Unequal responses for the SAR effects in different band frequencies.</w:t>
      </w:r>
    </w:p>
    <w:p w:rsidR="00A07FC8" w:rsidRPr="00610C15" w:rsidRDefault="00A07FC8" w:rsidP="00A07FC8">
      <w:pPr>
        <w:numPr>
          <w:ilvl w:val="1"/>
          <w:numId w:val="43"/>
        </w:numPr>
        <w:overflowPunct/>
        <w:autoSpaceDE/>
        <w:autoSpaceDN/>
        <w:adjustRightInd/>
        <w:jc w:val="both"/>
        <w:textAlignment w:val="auto"/>
        <w:rPr>
          <w:i/>
          <w:szCs w:val="22"/>
          <w:lang w:val="en-US"/>
        </w:rPr>
      </w:pPr>
      <w:r w:rsidRPr="00610C15">
        <w:rPr>
          <w:i/>
          <w:szCs w:val="22"/>
        </w:rPr>
        <w:t>Option 2: Report the duty cycle capabilities per band (CATT, Xiaomi, ZTE, OPPO, vivo, CMCC)</w:t>
      </w:r>
    </w:p>
    <w:p w:rsidR="00A07FC8" w:rsidRPr="00610C15" w:rsidRDefault="00A07FC8" w:rsidP="00A07FC8">
      <w:pPr>
        <w:numPr>
          <w:ilvl w:val="2"/>
          <w:numId w:val="43"/>
        </w:numPr>
        <w:overflowPunct/>
        <w:autoSpaceDE/>
        <w:autoSpaceDN/>
        <w:adjustRightInd/>
        <w:jc w:val="both"/>
        <w:textAlignment w:val="auto"/>
        <w:rPr>
          <w:i/>
          <w:szCs w:val="22"/>
          <w:lang w:val="en-US"/>
        </w:rPr>
      </w:pPr>
      <w:r w:rsidRPr="00610C15">
        <w:rPr>
          <w:i/>
          <w:szCs w:val="22"/>
        </w:rPr>
        <w:t>Main issue commented by companies: Too many pairs of signalling's, more detailed signalling design and values need to be provided, especially for the reference band.</w:t>
      </w:r>
    </w:p>
    <w:p w:rsidR="00A07FC8" w:rsidRPr="00610C15" w:rsidRDefault="00A07FC8" w:rsidP="00A07FC8">
      <w:pPr>
        <w:numPr>
          <w:ilvl w:val="0"/>
          <w:numId w:val="43"/>
        </w:numPr>
        <w:overflowPunct/>
        <w:autoSpaceDE/>
        <w:autoSpaceDN/>
        <w:adjustRightInd/>
        <w:ind w:leftChars="20" w:left="40" w:firstLine="386"/>
        <w:jc w:val="both"/>
        <w:textAlignment w:val="auto"/>
        <w:rPr>
          <w:i/>
          <w:szCs w:val="22"/>
          <w:lang w:val="en-US"/>
        </w:rPr>
      </w:pPr>
      <w:r w:rsidRPr="00610C15">
        <w:rPr>
          <w:i/>
          <w:szCs w:val="22"/>
        </w:rPr>
        <w:t>Blind scheme solution (Ericsson, Verizon, T-Mobile USA)</w:t>
      </w:r>
    </w:p>
    <w:p w:rsidR="00A07FC8" w:rsidRPr="00610C15" w:rsidRDefault="00A07FC8" w:rsidP="00A07FC8">
      <w:pPr>
        <w:numPr>
          <w:ilvl w:val="1"/>
          <w:numId w:val="43"/>
        </w:numPr>
        <w:overflowPunct/>
        <w:autoSpaceDE/>
        <w:autoSpaceDN/>
        <w:adjustRightInd/>
        <w:jc w:val="both"/>
        <w:textAlignment w:val="auto"/>
        <w:rPr>
          <w:i/>
          <w:szCs w:val="22"/>
          <w:lang w:val="en-US"/>
        </w:rPr>
      </w:pPr>
      <w:r w:rsidRPr="00610C15">
        <w:rPr>
          <w:i/>
          <w:szCs w:val="22"/>
        </w:rPr>
        <w:t xml:space="preserve">Further discussion on whether to consider </w:t>
      </w:r>
      <w:r w:rsidRPr="00610C15">
        <w:rPr>
          <w:i/>
          <w:szCs w:val="22"/>
          <w:lang w:val="sv-SE"/>
        </w:rPr>
        <w:t>(Scell) power dropping behavior due to power prioritization for UL CA and SUL configurations</w:t>
      </w:r>
    </w:p>
    <w:p w:rsidR="00A07FC8" w:rsidRPr="00610C15" w:rsidRDefault="00A07FC8" w:rsidP="00A07FC8">
      <w:pPr>
        <w:numPr>
          <w:ilvl w:val="0"/>
          <w:numId w:val="43"/>
        </w:numPr>
        <w:overflowPunct/>
        <w:autoSpaceDE/>
        <w:autoSpaceDN/>
        <w:adjustRightInd/>
        <w:ind w:leftChars="20" w:left="40" w:firstLine="386"/>
        <w:jc w:val="both"/>
        <w:textAlignment w:val="auto"/>
        <w:rPr>
          <w:i/>
          <w:szCs w:val="22"/>
          <w:lang w:val="en-US"/>
        </w:rPr>
      </w:pPr>
      <w:r w:rsidRPr="00610C15">
        <w:rPr>
          <w:i/>
          <w:szCs w:val="22"/>
        </w:rPr>
        <w:t>Other solutions/options are not precluded</w:t>
      </w:r>
    </w:p>
    <w:p w:rsidR="00A07FC8" w:rsidRDefault="00A07FC8" w:rsidP="009A089A">
      <w:r>
        <w:rPr>
          <w:lang w:val="en-US"/>
        </w:rPr>
        <w:t xml:space="preserve">Based on the options, we provide our further consideration on the SAR solutions for UL </w:t>
      </w:r>
      <w:r w:rsidR="003B37F6">
        <w:rPr>
          <w:lang w:val="en-US"/>
        </w:rPr>
        <w:t xml:space="preserve">CA </w:t>
      </w:r>
      <w:r>
        <w:rPr>
          <w:lang w:val="en-US"/>
        </w:rPr>
        <w:t>band combinations in this contribution.</w:t>
      </w:r>
    </w:p>
    <w:p w:rsidR="00062E8E" w:rsidRDefault="008534EF" w:rsidP="00F23E96">
      <w:pPr>
        <w:pStyle w:val="Heading1"/>
        <w:spacing w:after="240"/>
        <w:rPr>
          <w:rFonts w:eastAsia="SimSun"/>
          <w:lang w:eastAsia="zh-CN"/>
        </w:rPr>
      </w:pPr>
      <w:r w:rsidRPr="00DE5BD9">
        <w:rPr>
          <w:rFonts w:eastAsia="MS Mincho"/>
          <w:lang w:eastAsia="ja-JP"/>
        </w:rPr>
        <w:t xml:space="preserve">UE SAR capability signalling for UL </w:t>
      </w:r>
      <w:r>
        <w:rPr>
          <w:rFonts w:eastAsia="MS Mincho"/>
          <w:lang w:eastAsia="ja-JP"/>
        </w:rPr>
        <w:t xml:space="preserve">CA </w:t>
      </w:r>
      <w:r w:rsidRPr="00DE5BD9">
        <w:rPr>
          <w:rFonts w:eastAsia="MS Mincho"/>
          <w:lang w:eastAsia="ja-JP"/>
        </w:rPr>
        <w:t>band combination</w:t>
      </w:r>
    </w:p>
    <w:p w:rsidR="00A07FC8" w:rsidRDefault="006D276B" w:rsidP="005369EE">
      <w:pPr>
        <w:rPr>
          <w:lang w:eastAsia="en-US"/>
        </w:rPr>
      </w:pPr>
      <w:r>
        <w:rPr>
          <w:lang w:eastAsia="en-US"/>
        </w:rPr>
        <w:t xml:space="preserve">In last meeting, duty cycle capability based SAR solution for </w:t>
      </w:r>
      <w:r w:rsidR="00FD7D3C">
        <w:rPr>
          <w:lang w:eastAsia="en-US"/>
        </w:rPr>
        <w:t>U</w:t>
      </w:r>
      <w:r>
        <w:rPr>
          <w:lang w:eastAsia="en-US"/>
        </w:rPr>
        <w:t xml:space="preserve">L </w:t>
      </w:r>
      <w:r w:rsidR="00FD7D3C">
        <w:rPr>
          <w:lang w:eastAsia="en-US"/>
        </w:rPr>
        <w:t xml:space="preserve">CA </w:t>
      </w:r>
      <w:r>
        <w:rPr>
          <w:lang w:eastAsia="en-US"/>
        </w:rPr>
        <w:t>band combinations was proposed in [</w:t>
      </w:r>
      <w:r w:rsidR="00FD7D3C">
        <w:rPr>
          <w:lang w:eastAsia="en-US"/>
        </w:rPr>
        <w:t>3</w:t>
      </w:r>
      <w:r>
        <w:rPr>
          <w:lang w:eastAsia="en-US"/>
        </w:rPr>
        <w:t xml:space="preserve">]. According to the RAN4 discussion progress for the CA combinations, we </w:t>
      </w:r>
      <w:r w:rsidR="00D97BE3">
        <w:rPr>
          <w:lang w:eastAsia="en-US"/>
        </w:rPr>
        <w:t>realise that</w:t>
      </w:r>
      <w:r>
        <w:rPr>
          <w:lang w:eastAsia="en-US"/>
        </w:rPr>
        <w:t xml:space="preserve"> a unique mechanism could be used for both CA and SUL band combinations. </w:t>
      </w:r>
      <w:r w:rsidR="001C746D">
        <w:rPr>
          <w:lang w:eastAsia="en-US"/>
        </w:rPr>
        <w:t>Thus the following discussion are applicable for both CA and SUL.</w:t>
      </w:r>
    </w:p>
    <w:p w:rsidR="001C746D" w:rsidRDefault="001C746D" w:rsidP="005369EE">
      <w:pPr>
        <w:rPr>
          <w:lang w:eastAsia="en-US"/>
        </w:rPr>
      </w:pPr>
      <w:r>
        <w:rPr>
          <w:lang w:eastAsia="en-US"/>
        </w:rPr>
        <w:t xml:space="preserve">Different from LTE, NR has more flexibility to schedule the UL transmission for TDD NR bands. Hence the SAR solutions used for EN-DC </w:t>
      </w:r>
      <w:r w:rsidR="00D97BE3">
        <w:rPr>
          <w:lang w:eastAsia="en-US"/>
        </w:rPr>
        <w:t>may</w:t>
      </w:r>
      <w:r>
        <w:rPr>
          <w:lang w:eastAsia="en-US"/>
        </w:rPr>
        <w:t xml:space="preserve"> not </w:t>
      </w:r>
      <w:r w:rsidR="00D97BE3">
        <w:rPr>
          <w:lang w:eastAsia="en-US"/>
        </w:rPr>
        <w:t>be appropriate</w:t>
      </w:r>
      <w:r>
        <w:rPr>
          <w:lang w:eastAsia="en-US"/>
        </w:rPr>
        <w:t xml:space="preserve"> for NR CA or SUL band combinations. For duty cycle based solution, as discussed in last meeting, our preference is to report the </w:t>
      </w:r>
      <w:r w:rsidRPr="001C746D">
        <w:rPr>
          <w:lang w:eastAsia="en-US"/>
        </w:rPr>
        <w:t>per band combination</w:t>
      </w:r>
      <w:r>
        <w:rPr>
          <w:lang w:eastAsia="en-US"/>
        </w:rPr>
        <w:t xml:space="preserve"> duty cycle capability. </w:t>
      </w:r>
    </w:p>
    <w:p w:rsidR="001C746D" w:rsidRPr="00FE1585" w:rsidRDefault="001C746D" w:rsidP="001C746D">
      <w:pPr>
        <w:jc w:val="center"/>
        <w:rPr>
          <w:b/>
          <w:szCs w:val="22"/>
        </w:rPr>
      </w:pPr>
      <w:r w:rsidRPr="00FE1585">
        <w:rPr>
          <w:b/>
          <w:szCs w:val="22"/>
        </w:rPr>
        <w:t>Duty</w:t>
      </w:r>
      <w:r>
        <w:rPr>
          <w:rFonts w:hint="eastAsia"/>
          <w:b/>
          <w:szCs w:val="22"/>
          <w:vertAlign w:val="subscript"/>
        </w:rPr>
        <w:t>NR, x</w:t>
      </w:r>
      <w:r w:rsidRPr="00FE1585">
        <w:rPr>
          <w:b/>
          <w:szCs w:val="22"/>
          <w:vertAlign w:val="subscript"/>
        </w:rPr>
        <w:t xml:space="preserve"> </w:t>
      </w:r>
      <w:r w:rsidRPr="00FE1585">
        <w:rPr>
          <w:b/>
          <w:szCs w:val="22"/>
        </w:rPr>
        <w:t>*( P</w:t>
      </w:r>
      <w:r>
        <w:rPr>
          <w:rFonts w:hint="eastAsia"/>
          <w:b/>
          <w:szCs w:val="22"/>
          <w:vertAlign w:val="subscript"/>
        </w:rPr>
        <w:t>NR,x</w:t>
      </w:r>
      <w:r w:rsidRPr="00FE1585">
        <w:rPr>
          <w:b/>
          <w:szCs w:val="22"/>
        </w:rPr>
        <w:t>/ P</w:t>
      </w:r>
      <w:r w:rsidRPr="00FE1585">
        <w:rPr>
          <w:b/>
          <w:szCs w:val="22"/>
          <w:vertAlign w:val="subscript"/>
        </w:rPr>
        <w:t>26</w:t>
      </w:r>
      <w:r w:rsidRPr="00FE1585">
        <w:rPr>
          <w:b/>
          <w:szCs w:val="22"/>
        </w:rPr>
        <w:t>) + Duty</w:t>
      </w:r>
      <w:r w:rsidRPr="00FE1585">
        <w:rPr>
          <w:b/>
          <w:szCs w:val="22"/>
          <w:vertAlign w:val="subscript"/>
        </w:rPr>
        <w:t>NR</w:t>
      </w:r>
      <w:r>
        <w:rPr>
          <w:rFonts w:hint="eastAsia"/>
          <w:b/>
          <w:szCs w:val="22"/>
          <w:vertAlign w:val="subscript"/>
        </w:rPr>
        <w:t>, y</w:t>
      </w:r>
      <w:r w:rsidRPr="00FE1585">
        <w:rPr>
          <w:b/>
          <w:szCs w:val="22"/>
        </w:rPr>
        <w:t xml:space="preserve"> *(P</w:t>
      </w:r>
      <w:r w:rsidRPr="00FE1585">
        <w:rPr>
          <w:b/>
          <w:szCs w:val="22"/>
          <w:vertAlign w:val="subscript"/>
        </w:rPr>
        <w:t>NR</w:t>
      </w:r>
      <w:r>
        <w:rPr>
          <w:rFonts w:hint="eastAsia"/>
          <w:b/>
          <w:szCs w:val="22"/>
          <w:vertAlign w:val="subscript"/>
        </w:rPr>
        <w:t>, y</w:t>
      </w:r>
      <w:r w:rsidRPr="00FE1585">
        <w:rPr>
          <w:b/>
          <w:szCs w:val="22"/>
        </w:rPr>
        <w:t>/ P</w:t>
      </w:r>
      <w:r w:rsidRPr="00FE1585">
        <w:rPr>
          <w:b/>
          <w:szCs w:val="22"/>
          <w:vertAlign w:val="subscript"/>
        </w:rPr>
        <w:t>26</w:t>
      </w:r>
      <w:r w:rsidRPr="00FE1585">
        <w:rPr>
          <w:b/>
          <w:szCs w:val="22"/>
        </w:rPr>
        <w:t xml:space="preserve">)  ≤ </w:t>
      </w:r>
      <w:r w:rsidRPr="00FE1585">
        <w:rPr>
          <w:b/>
          <w:i/>
          <w:szCs w:val="22"/>
        </w:rPr>
        <w:t>Duty threshold</w:t>
      </w:r>
      <w:r w:rsidRPr="00FE1585">
        <w:rPr>
          <w:b/>
          <w:i/>
          <w:szCs w:val="22"/>
        </w:rPr>
        <w:tab/>
        <w:t>…</w:t>
      </w:r>
      <w:r w:rsidRPr="00FE1585">
        <w:rPr>
          <w:b/>
          <w:szCs w:val="22"/>
        </w:rPr>
        <w:t>(1)</w:t>
      </w:r>
    </w:p>
    <w:p w:rsidR="001C746D" w:rsidRDefault="001C746D" w:rsidP="005369EE">
      <w:pPr>
        <w:rPr>
          <w:lang w:eastAsia="en-US"/>
        </w:rPr>
      </w:pPr>
      <w:r>
        <w:rPr>
          <w:lang w:eastAsia="en-US"/>
        </w:rPr>
        <w:t xml:space="preserve">The above equation has been discussed in </w:t>
      </w:r>
      <w:r w:rsidR="00D97BE3">
        <w:rPr>
          <w:lang w:eastAsia="en-US"/>
        </w:rPr>
        <w:t xml:space="preserve">the </w:t>
      </w:r>
      <w:r>
        <w:rPr>
          <w:lang w:eastAsia="en-US"/>
        </w:rPr>
        <w:t xml:space="preserve">last meeting and the equation itself is widely </w:t>
      </w:r>
      <w:r w:rsidR="00D97BE3">
        <w:rPr>
          <w:lang w:eastAsia="en-US"/>
        </w:rPr>
        <w:t>recognised</w:t>
      </w:r>
      <w:r>
        <w:rPr>
          <w:lang w:eastAsia="en-US"/>
        </w:rPr>
        <w:t xml:space="preserve"> conceptually. </w:t>
      </w:r>
      <w:r w:rsidR="00D97BE3">
        <w:rPr>
          <w:lang w:eastAsia="en-US"/>
        </w:rPr>
        <w:t>The main c</w:t>
      </w:r>
      <w:r>
        <w:rPr>
          <w:lang w:eastAsia="en-US"/>
        </w:rPr>
        <w:t>oncern for the per</w:t>
      </w:r>
      <w:r w:rsidR="00D97BE3">
        <w:rPr>
          <w:lang w:eastAsia="en-US"/>
        </w:rPr>
        <w:t>-</w:t>
      </w:r>
      <w:r>
        <w:rPr>
          <w:lang w:eastAsia="en-US"/>
        </w:rPr>
        <w:t>BC duty</w:t>
      </w:r>
      <w:r w:rsidR="00D97BE3">
        <w:rPr>
          <w:lang w:eastAsia="en-US"/>
        </w:rPr>
        <w:t xml:space="preserve"> </w:t>
      </w:r>
      <w:r>
        <w:rPr>
          <w:lang w:eastAsia="en-US"/>
        </w:rPr>
        <w:t xml:space="preserve">cycle capability is </w:t>
      </w:r>
      <w:r w:rsidR="00812B22">
        <w:rPr>
          <w:lang w:eastAsia="en-US"/>
        </w:rPr>
        <w:t xml:space="preserve">the </w:t>
      </w:r>
      <w:r w:rsidR="00D97BE3">
        <w:rPr>
          <w:lang w:eastAsia="en-US"/>
        </w:rPr>
        <w:t>u</w:t>
      </w:r>
      <w:r w:rsidRPr="001C746D">
        <w:rPr>
          <w:lang w:eastAsia="en-US"/>
        </w:rPr>
        <w:t>nequal response for the SAR effect in different band frequencies.</w:t>
      </w:r>
      <w:r>
        <w:rPr>
          <w:lang w:eastAsia="en-US"/>
        </w:rPr>
        <w:t xml:space="preserve"> To address the concern, we </w:t>
      </w:r>
      <w:r w:rsidR="00812B22">
        <w:rPr>
          <w:lang w:eastAsia="en-US"/>
        </w:rPr>
        <w:t>propose to</w:t>
      </w:r>
      <w:r>
        <w:rPr>
          <w:lang w:eastAsia="en-US"/>
        </w:rPr>
        <w:t xml:space="preserve"> introduce a SARratio </w:t>
      </w:r>
      <w:r w:rsidR="00812B22">
        <w:rPr>
          <w:lang w:eastAsia="en-US"/>
        </w:rPr>
        <w:t>factor</w:t>
      </w:r>
      <w:r>
        <w:rPr>
          <w:lang w:eastAsia="en-US"/>
        </w:rPr>
        <w:t xml:space="preserve">, which </w:t>
      </w:r>
      <w:r w:rsidR="00812B22">
        <w:rPr>
          <w:lang w:eastAsia="en-US"/>
        </w:rPr>
        <w:t xml:space="preserve">corresponds to different </w:t>
      </w:r>
      <w:r>
        <w:rPr>
          <w:lang w:eastAsia="en-US"/>
        </w:rPr>
        <w:t>SAR capabilit</w:t>
      </w:r>
      <w:r w:rsidR="00812B22">
        <w:rPr>
          <w:lang w:eastAsia="en-US"/>
        </w:rPr>
        <w:t>ies</w:t>
      </w:r>
      <w:r>
        <w:rPr>
          <w:lang w:eastAsia="en-US"/>
        </w:rPr>
        <w:t xml:space="preserve"> for </w:t>
      </w:r>
      <w:r w:rsidR="003D093A">
        <w:rPr>
          <w:lang w:eastAsia="en-US"/>
        </w:rPr>
        <w:t>the two NR</w:t>
      </w:r>
      <w:r>
        <w:rPr>
          <w:lang w:eastAsia="en-US"/>
        </w:rPr>
        <w:t xml:space="preserve"> bands, and it can also be used to adjust the duty cycle allocated for the two bands</w:t>
      </w:r>
      <w:r w:rsidRPr="001C746D">
        <w:rPr>
          <w:lang w:eastAsia="en-US"/>
        </w:rPr>
        <w:t xml:space="preserve"> </w:t>
      </w:r>
      <w:r>
        <w:rPr>
          <w:lang w:eastAsia="en-US"/>
        </w:rPr>
        <w:t xml:space="preserve">on purpose. </w:t>
      </w:r>
      <w:r w:rsidR="003D093A">
        <w:rPr>
          <w:lang w:eastAsia="en-US"/>
        </w:rPr>
        <w:t>The actual mechanism is subject to</w:t>
      </w:r>
      <w:r>
        <w:rPr>
          <w:lang w:eastAsia="en-US"/>
        </w:rPr>
        <w:t xml:space="preserve"> the UE implementation. The SARratio factor should be reported together with the per</w:t>
      </w:r>
      <w:r w:rsidR="006C15C2">
        <w:rPr>
          <w:lang w:eastAsia="en-US"/>
        </w:rPr>
        <w:t>-</w:t>
      </w:r>
      <w:r>
        <w:rPr>
          <w:lang w:eastAsia="en-US"/>
        </w:rPr>
        <w:t xml:space="preserve">BC duty cycle capability. If it is absent, the SARratio is assumed as 1. </w:t>
      </w:r>
      <w:r w:rsidR="00852DDC">
        <w:rPr>
          <w:lang w:eastAsia="en-US"/>
        </w:rPr>
        <w:t xml:space="preserve">The range of SARratio can be further discussed. </w:t>
      </w:r>
    </w:p>
    <w:p w:rsidR="00852DDC" w:rsidRDefault="00852DDC" w:rsidP="005369EE">
      <w:pPr>
        <w:rPr>
          <w:lang w:eastAsia="en-US"/>
        </w:rPr>
      </w:pPr>
      <w:r>
        <w:rPr>
          <w:lang w:eastAsia="en-US"/>
        </w:rPr>
        <w:t>With consideration of SARratio, Eq.1 can be revised to Eq. 2 for SUL band combinations.</w:t>
      </w:r>
    </w:p>
    <w:p w:rsidR="00852DDC" w:rsidRPr="00FE1585" w:rsidRDefault="00852DDC" w:rsidP="00852DDC">
      <w:pPr>
        <w:overflowPunct/>
        <w:autoSpaceDE/>
        <w:adjustRightInd/>
        <w:jc w:val="center"/>
        <w:rPr>
          <w:b/>
          <w:szCs w:val="22"/>
        </w:rPr>
      </w:pPr>
      <w:r w:rsidRPr="00FE1585">
        <w:rPr>
          <w:b/>
          <w:szCs w:val="22"/>
        </w:rPr>
        <w:lastRenderedPageBreak/>
        <w:t>Duty</w:t>
      </w:r>
      <w:r w:rsidR="006C15C2">
        <w:rPr>
          <w:b/>
          <w:szCs w:val="22"/>
          <w:vertAlign w:val="subscript"/>
        </w:rPr>
        <w:t>NR,x</w:t>
      </w:r>
      <w:r w:rsidRPr="00FE1585">
        <w:rPr>
          <w:b/>
          <w:szCs w:val="22"/>
          <w:vertAlign w:val="subscript"/>
        </w:rPr>
        <w:t xml:space="preserve"> </w:t>
      </w:r>
      <w:r w:rsidRPr="00FE1585">
        <w:rPr>
          <w:b/>
          <w:szCs w:val="22"/>
        </w:rPr>
        <w:t>*( P</w:t>
      </w:r>
      <w:r w:rsidR="006C15C2">
        <w:rPr>
          <w:b/>
          <w:szCs w:val="22"/>
          <w:vertAlign w:val="subscript"/>
        </w:rPr>
        <w:t>NR,x</w:t>
      </w:r>
      <w:r w:rsidRPr="00FE1585">
        <w:rPr>
          <w:b/>
          <w:szCs w:val="22"/>
        </w:rPr>
        <w:t>/ P</w:t>
      </w:r>
      <w:r w:rsidRPr="00FE1585">
        <w:rPr>
          <w:b/>
          <w:szCs w:val="22"/>
          <w:vertAlign w:val="subscript"/>
        </w:rPr>
        <w:t>26</w:t>
      </w:r>
      <w:r w:rsidRPr="00FE1585">
        <w:rPr>
          <w:b/>
          <w:szCs w:val="22"/>
        </w:rPr>
        <w:t>) + Duty</w:t>
      </w:r>
      <w:r w:rsidRPr="00FE1585">
        <w:rPr>
          <w:b/>
          <w:szCs w:val="22"/>
          <w:vertAlign w:val="subscript"/>
        </w:rPr>
        <w:t>NR</w:t>
      </w:r>
      <w:r w:rsidR="006C15C2">
        <w:rPr>
          <w:b/>
          <w:szCs w:val="22"/>
          <w:vertAlign w:val="subscript"/>
        </w:rPr>
        <w:t>,y</w:t>
      </w:r>
      <w:r w:rsidRPr="00FE1585">
        <w:rPr>
          <w:b/>
          <w:szCs w:val="22"/>
        </w:rPr>
        <w:t xml:space="preserve"> *(P</w:t>
      </w:r>
      <w:r w:rsidRPr="00FE1585">
        <w:rPr>
          <w:b/>
          <w:szCs w:val="22"/>
          <w:vertAlign w:val="subscript"/>
        </w:rPr>
        <w:t>NR</w:t>
      </w:r>
      <w:r w:rsidR="006C15C2">
        <w:rPr>
          <w:b/>
          <w:szCs w:val="22"/>
          <w:vertAlign w:val="subscript"/>
        </w:rPr>
        <w:t>,y</w:t>
      </w:r>
      <w:r w:rsidRPr="00FE1585">
        <w:rPr>
          <w:b/>
          <w:szCs w:val="22"/>
        </w:rPr>
        <w:t>/ P</w:t>
      </w:r>
      <w:r w:rsidRPr="00FE1585">
        <w:rPr>
          <w:b/>
          <w:szCs w:val="22"/>
          <w:vertAlign w:val="subscript"/>
        </w:rPr>
        <w:t>26</w:t>
      </w:r>
      <w:r w:rsidRPr="00FE1585">
        <w:rPr>
          <w:b/>
          <w:szCs w:val="22"/>
        </w:rPr>
        <w:t>)</w:t>
      </w:r>
      <w:r>
        <w:rPr>
          <w:rFonts w:hint="eastAsia"/>
          <w:b/>
          <w:szCs w:val="22"/>
        </w:rPr>
        <w:t>*</w:t>
      </w:r>
      <w:r w:rsidRPr="00714898">
        <w:rPr>
          <w:rFonts w:hint="eastAsia"/>
          <w:b/>
          <w:szCs w:val="22"/>
        </w:rPr>
        <w:t xml:space="preserve"> </w:t>
      </w:r>
      <w:r>
        <w:rPr>
          <w:rFonts w:hint="eastAsia"/>
          <w:b/>
          <w:szCs w:val="22"/>
        </w:rPr>
        <w:t>SARratio</w:t>
      </w:r>
      <w:r w:rsidRPr="00FE1585">
        <w:rPr>
          <w:b/>
          <w:szCs w:val="22"/>
        </w:rPr>
        <w:t xml:space="preserve"> ≤ </w:t>
      </w:r>
      <w:r w:rsidRPr="00FE1585">
        <w:rPr>
          <w:b/>
          <w:i/>
          <w:szCs w:val="22"/>
        </w:rPr>
        <w:t>Duty threshold</w:t>
      </w:r>
      <w:r w:rsidRPr="00FE1585">
        <w:rPr>
          <w:b/>
          <w:i/>
          <w:szCs w:val="22"/>
        </w:rPr>
        <w:tab/>
        <w:t>…</w:t>
      </w:r>
      <w:r w:rsidRPr="00FE1585">
        <w:rPr>
          <w:b/>
          <w:szCs w:val="22"/>
        </w:rPr>
        <w:t>(</w:t>
      </w:r>
      <w:r>
        <w:rPr>
          <w:rFonts w:hint="eastAsia"/>
          <w:b/>
          <w:szCs w:val="22"/>
        </w:rPr>
        <w:t>2</w:t>
      </w:r>
      <w:r w:rsidRPr="00FE1585">
        <w:rPr>
          <w:b/>
          <w:szCs w:val="22"/>
        </w:rPr>
        <w:t>)</w:t>
      </w:r>
    </w:p>
    <w:p w:rsidR="001C746D" w:rsidRDefault="00852DDC" w:rsidP="005369EE">
      <w:r>
        <w:rPr>
          <w:lang w:eastAsia="en-US"/>
        </w:rPr>
        <w:t>For the candidate values of</w:t>
      </w:r>
      <w:r w:rsidR="001C746D">
        <w:rPr>
          <w:lang w:eastAsia="en-US"/>
        </w:rPr>
        <w:t xml:space="preserve"> </w:t>
      </w:r>
      <w:r>
        <w:rPr>
          <w:lang w:eastAsia="en-US"/>
        </w:rPr>
        <w:t>per</w:t>
      </w:r>
      <w:r w:rsidR="006C15C2">
        <w:rPr>
          <w:lang w:eastAsia="en-US"/>
        </w:rPr>
        <w:t>-</w:t>
      </w:r>
      <w:r>
        <w:rPr>
          <w:lang w:eastAsia="en-US"/>
        </w:rPr>
        <w:t xml:space="preserve">BC duty cycle capability can be listed as </w:t>
      </w:r>
      <w:r w:rsidRPr="00D96C74">
        <w:t>{</w:t>
      </w:r>
      <w:r w:rsidRPr="007E379D">
        <w:rPr>
          <w:rFonts w:hint="eastAsia"/>
        </w:rPr>
        <w:t xml:space="preserve">n50, </w:t>
      </w:r>
      <w:r w:rsidRPr="00D96C74">
        <w:t>n60, n70, n80, n90, n100</w:t>
      </w:r>
      <w:r>
        <w:t xml:space="preserve">, </w:t>
      </w:r>
      <w:r w:rsidRPr="00852DDC">
        <w:t>Full_duty_supported</w:t>
      </w:r>
      <w:r w:rsidRPr="00D96C74">
        <w:t>}</w:t>
      </w:r>
      <w:r w:rsidRPr="007E379D">
        <w:rPr>
          <w:rFonts w:hint="eastAsia"/>
        </w:rPr>
        <w:t>.</w:t>
      </w:r>
      <w:r>
        <w:t xml:space="preserve"> Though </w:t>
      </w:r>
      <w:r w:rsidRPr="00852DDC">
        <w:rPr>
          <w:i/>
        </w:rPr>
        <w:t>Full_duty_supported</w:t>
      </w:r>
      <w:r>
        <w:t xml:space="preserve"> was not accepted by EN-DC in the end, we think</w:t>
      </w:r>
      <w:r w:rsidR="006C15C2">
        <w:t xml:space="preserve"> this parameter can provide extra</w:t>
      </w:r>
      <w:r>
        <w:t xml:space="preserve"> flexibility for both </w:t>
      </w:r>
      <w:r w:rsidR="006C15C2">
        <w:t xml:space="preserve">the </w:t>
      </w:r>
      <w:r>
        <w:t xml:space="preserve">network </w:t>
      </w:r>
      <w:r w:rsidR="006C15C2">
        <w:t xml:space="preserve">side </w:t>
      </w:r>
      <w:r>
        <w:t xml:space="preserve">and </w:t>
      </w:r>
      <w:r w:rsidR="006C15C2">
        <w:t xml:space="preserve">the </w:t>
      </w:r>
      <w:r>
        <w:t>UE side.</w:t>
      </w:r>
    </w:p>
    <w:p w:rsidR="00852DDC" w:rsidRPr="00DE5BD9" w:rsidRDefault="00DE5BD9" w:rsidP="005369EE">
      <w:pPr>
        <w:rPr>
          <w:b/>
          <w:i/>
          <w:szCs w:val="22"/>
        </w:rPr>
      </w:pPr>
      <w:r w:rsidRPr="00DE5BD9">
        <w:rPr>
          <w:b/>
          <w:i/>
          <w:lang w:eastAsia="en-US"/>
        </w:rPr>
        <w:t>Proposal 1: It is proposed to</w:t>
      </w:r>
      <w:r w:rsidRPr="00DE5BD9">
        <w:rPr>
          <w:i/>
          <w:lang w:eastAsia="en-US"/>
        </w:rPr>
        <w:t xml:space="preserve"> </w:t>
      </w:r>
      <w:r w:rsidRPr="00DE5BD9">
        <w:rPr>
          <w:b/>
          <w:i/>
          <w:szCs w:val="22"/>
        </w:rPr>
        <w:t>report the per</w:t>
      </w:r>
      <w:r w:rsidR="008534EF">
        <w:rPr>
          <w:b/>
          <w:i/>
          <w:szCs w:val="22"/>
        </w:rPr>
        <w:t>-</w:t>
      </w:r>
      <w:r w:rsidRPr="00DE5BD9">
        <w:rPr>
          <w:b/>
          <w:i/>
          <w:szCs w:val="22"/>
        </w:rPr>
        <w:t>BC total UL duty cycle capability as well as</w:t>
      </w:r>
      <w:r w:rsidRPr="00DE5BD9">
        <w:rPr>
          <w:rFonts w:hint="eastAsia"/>
          <w:b/>
          <w:i/>
          <w:szCs w:val="22"/>
        </w:rPr>
        <w:t xml:space="preserve"> SARratio factor for NR </w:t>
      </w:r>
      <w:r w:rsidR="008534EF" w:rsidRPr="00DE5BD9">
        <w:rPr>
          <w:b/>
          <w:i/>
          <w:szCs w:val="22"/>
        </w:rPr>
        <w:t>HPUE</w:t>
      </w:r>
      <w:r w:rsidR="008534EF" w:rsidRPr="00DE5BD9">
        <w:rPr>
          <w:rFonts w:hint="eastAsia"/>
          <w:b/>
          <w:i/>
          <w:szCs w:val="22"/>
        </w:rPr>
        <w:t xml:space="preserve"> </w:t>
      </w:r>
      <w:r w:rsidRPr="00DE5BD9">
        <w:rPr>
          <w:rFonts w:hint="eastAsia"/>
          <w:b/>
          <w:i/>
          <w:szCs w:val="22"/>
        </w:rPr>
        <w:t>UL</w:t>
      </w:r>
      <w:r w:rsidR="008534EF">
        <w:rPr>
          <w:b/>
          <w:i/>
          <w:szCs w:val="22"/>
        </w:rPr>
        <w:t xml:space="preserve"> CA</w:t>
      </w:r>
      <w:r w:rsidRPr="00DE5BD9">
        <w:rPr>
          <w:rFonts w:hint="eastAsia"/>
          <w:b/>
          <w:i/>
          <w:szCs w:val="22"/>
        </w:rPr>
        <w:t xml:space="preserve"> </w:t>
      </w:r>
      <w:r w:rsidRPr="00DE5BD9">
        <w:rPr>
          <w:b/>
          <w:i/>
          <w:szCs w:val="22"/>
        </w:rPr>
        <w:t>band combinations</w:t>
      </w:r>
      <w:r w:rsidRPr="00DE5BD9">
        <w:rPr>
          <w:rFonts w:hint="eastAsia"/>
          <w:b/>
          <w:i/>
          <w:szCs w:val="22"/>
        </w:rPr>
        <w:t>.</w:t>
      </w:r>
    </w:p>
    <w:p w:rsidR="00A33E8E" w:rsidRDefault="00A33E8E" w:rsidP="00A33E8E">
      <w:pPr>
        <w:pStyle w:val="Heading1"/>
        <w:spacing w:after="240"/>
        <w:rPr>
          <w:rFonts w:eastAsia="SimSun"/>
          <w:lang w:eastAsia="zh-CN"/>
        </w:rPr>
      </w:pPr>
      <w:r>
        <w:rPr>
          <w:rFonts w:eastAsia="SimSun" w:hint="eastAsia"/>
          <w:lang w:eastAsia="zh-CN"/>
        </w:rPr>
        <w:t>Conclusion</w:t>
      </w:r>
    </w:p>
    <w:p w:rsidR="00DE5BD9" w:rsidRDefault="00DE5BD9" w:rsidP="00DE5BD9">
      <w:pPr>
        <w:rPr>
          <w:lang w:val="en-US"/>
        </w:rPr>
      </w:pPr>
      <w:r>
        <w:rPr>
          <w:lang w:val="en-US"/>
        </w:rPr>
        <w:t xml:space="preserve">In this paper, we discuss the related aspects in introducing the standardized SAR compliance signaling and schemes for HPUE that configured with UL </w:t>
      </w:r>
      <w:r w:rsidR="008534EF">
        <w:rPr>
          <w:lang w:val="en-US"/>
        </w:rPr>
        <w:t xml:space="preserve">CA </w:t>
      </w:r>
      <w:r>
        <w:rPr>
          <w:lang w:val="en-US"/>
        </w:rPr>
        <w:t xml:space="preserve">band combinations. </w:t>
      </w:r>
    </w:p>
    <w:p w:rsidR="00DE5BD9" w:rsidRPr="00DE5BD9" w:rsidRDefault="00DE5BD9" w:rsidP="00DE5BD9">
      <w:pPr>
        <w:rPr>
          <w:b/>
          <w:i/>
          <w:szCs w:val="22"/>
        </w:rPr>
      </w:pPr>
      <w:r w:rsidRPr="00DE5BD9">
        <w:rPr>
          <w:b/>
          <w:i/>
          <w:lang w:eastAsia="en-US"/>
        </w:rPr>
        <w:t>Proposal 1: It is proposed to</w:t>
      </w:r>
      <w:r w:rsidRPr="00DE5BD9">
        <w:rPr>
          <w:i/>
          <w:lang w:eastAsia="en-US"/>
        </w:rPr>
        <w:t xml:space="preserve"> </w:t>
      </w:r>
      <w:r w:rsidRPr="00DE5BD9">
        <w:rPr>
          <w:b/>
          <w:i/>
          <w:szCs w:val="22"/>
        </w:rPr>
        <w:t>report the per</w:t>
      </w:r>
      <w:r w:rsidR="00E231A1">
        <w:rPr>
          <w:b/>
          <w:i/>
          <w:szCs w:val="22"/>
        </w:rPr>
        <w:t>-</w:t>
      </w:r>
      <w:r w:rsidRPr="00DE5BD9">
        <w:rPr>
          <w:b/>
          <w:i/>
          <w:szCs w:val="22"/>
        </w:rPr>
        <w:t>BC total UL duty cycle capability as well as</w:t>
      </w:r>
      <w:r w:rsidRPr="00DE5BD9">
        <w:rPr>
          <w:rFonts w:hint="eastAsia"/>
          <w:b/>
          <w:i/>
          <w:szCs w:val="22"/>
        </w:rPr>
        <w:t xml:space="preserve"> SARratio factor for NR </w:t>
      </w:r>
      <w:r w:rsidR="005F1640" w:rsidRPr="00DE5BD9">
        <w:rPr>
          <w:b/>
          <w:i/>
          <w:szCs w:val="22"/>
        </w:rPr>
        <w:t xml:space="preserve">HPUE </w:t>
      </w:r>
      <w:r w:rsidRPr="00DE5BD9">
        <w:rPr>
          <w:rFonts w:hint="eastAsia"/>
          <w:b/>
          <w:i/>
          <w:szCs w:val="22"/>
        </w:rPr>
        <w:t>UL</w:t>
      </w:r>
      <w:r w:rsidR="008534EF">
        <w:rPr>
          <w:b/>
          <w:i/>
          <w:szCs w:val="22"/>
        </w:rPr>
        <w:t xml:space="preserve"> CA</w:t>
      </w:r>
      <w:r w:rsidRPr="00DE5BD9">
        <w:rPr>
          <w:rFonts w:hint="eastAsia"/>
          <w:b/>
          <w:i/>
          <w:szCs w:val="22"/>
        </w:rPr>
        <w:t xml:space="preserve"> </w:t>
      </w:r>
      <w:r w:rsidRPr="00DE5BD9">
        <w:rPr>
          <w:b/>
          <w:i/>
          <w:szCs w:val="22"/>
        </w:rPr>
        <w:t>band combinations</w:t>
      </w:r>
      <w:r w:rsidRPr="00DE5BD9">
        <w:rPr>
          <w:rFonts w:hint="eastAsia"/>
          <w:b/>
          <w:i/>
          <w:szCs w:val="22"/>
        </w:rPr>
        <w:t>.</w:t>
      </w:r>
    </w:p>
    <w:p w:rsidR="00B22DA6" w:rsidRDefault="00B22DA6" w:rsidP="00B22DA6">
      <w:pPr>
        <w:pStyle w:val="Heading1"/>
        <w:numPr>
          <w:ilvl w:val="0"/>
          <w:numId w:val="0"/>
        </w:numPr>
        <w:rPr>
          <w:rFonts w:eastAsia="SimSun"/>
          <w:lang w:eastAsia="zh-CN"/>
        </w:rPr>
      </w:pPr>
      <w:r>
        <w:t>References</w:t>
      </w:r>
    </w:p>
    <w:p w:rsidR="00A07FC8" w:rsidRDefault="00A07FC8" w:rsidP="00A07FC8">
      <w:r>
        <w:t>[1]</w:t>
      </w:r>
      <w:r>
        <w:tab/>
        <w:t>R4-2016851, WF on SAR solutions for PC2 NR inter-band CA and SUL configurations, China Telecom</w:t>
      </w:r>
    </w:p>
    <w:p w:rsidR="00C53757" w:rsidRDefault="00A07FC8" w:rsidP="00A07FC8">
      <w:r>
        <w:t>[2]</w:t>
      </w:r>
      <w:r>
        <w:tab/>
        <w:t>RP-201584, Revised WID: SAR schemes for UE power class 2 (PC2) for NR inter-band Carrier Aggregation and supplemental uplink (SUL) configurations with 2 bands UL, China Telecom</w:t>
      </w:r>
    </w:p>
    <w:p w:rsidR="001C746D" w:rsidRDefault="001C746D" w:rsidP="00A07FC8">
      <w:r>
        <w:t>[</w:t>
      </w:r>
      <w:r w:rsidR="009C5484">
        <w:t>3</w:t>
      </w:r>
      <w:r>
        <w:t xml:space="preserve">] </w:t>
      </w:r>
      <w:r w:rsidRPr="00A07FC8">
        <w:t>R4-201528</w:t>
      </w:r>
      <w:r w:rsidR="003B37F6">
        <w:t>7</w:t>
      </w:r>
      <w:r>
        <w:t xml:space="preserve">, </w:t>
      </w:r>
      <w:r w:rsidRPr="001C746D">
        <w:t>Discussion on the SAR solutions for UL CA band combinations</w:t>
      </w:r>
      <w:r>
        <w:t>, Huawei, HiSilicon</w:t>
      </w:r>
    </w:p>
    <w:sectPr w:rsidR="001C746D"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696B" w:rsidRDefault="002C696B" w:rsidP="0052762B">
      <w:r>
        <w:separator/>
      </w:r>
    </w:p>
  </w:endnote>
  <w:endnote w:type="continuationSeparator" w:id="0">
    <w:p w:rsidR="002C696B" w:rsidRDefault="002C696B"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696B" w:rsidRDefault="002C696B" w:rsidP="0052762B">
      <w:r>
        <w:separator/>
      </w:r>
    </w:p>
  </w:footnote>
  <w:footnote w:type="continuationSeparator" w:id="0">
    <w:p w:rsidR="002C696B" w:rsidRDefault="002C696B"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2305F0"/>
    <w:multiLevelType w:val="hybridMultilevel"/>
    <w:tmpl w:val="267CDD00"/>
    <w:lvl w:ilvl="0" w:tplc="ED488C5A">
      <w:start w:val="3"/>
      <w:numFmt w:val="bullet"/>
      <w:lvlText w:val="-"/>
      <w:lvlJc w:val="left"/>
      <w:pPr>
        <w:ind w:left="504" w:hanging="420"/>
      </w:pPr>
      <w:rPr>
        <w:rFonts w:ascii="Times New Roman" w:eastAsia="SimSun"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7"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253010"/>
    <w:multiLevelType w:val="hybridMultilevel"/>
    <w:tmpl w:val="7BA4CDA0"/>
    <w:lvl w:ilvl="0" w:tplc="8DEE71CC">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3A4F16"/>
    <w:multiLevelType w:val="hybridMultilevel"/>
    <w:tmpl w:val="A38E1D38"/>
    <w:lvl w:ilvl="0" w:tplc="ED488C5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8E3C9E"/>
    <w:multiLevelType w:val="hybridMultilevel"/>
    <w:tmpl w:val="8F32F6BE"/>
    <w:lvl w:ilvl="0" w:tplc="ED488C5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830CC7"/>
    <w:multiLevelType w:val="hybridMultilevel"/>
    <w:tmpl w:val="AD2ACE62"/>
    <w:lvl w:ilvl="0" w:tplc="ED488C5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89D0350"/>
    <w:multiLevelType w:val="hybridMultilevel"/>
    <w:tmpl w:val="75FE0A42"/>
    <w:lvl w:ilvl="0" w:tplc="8DEE71CC">
      <w:numFmt w:val="bullet"/>
      <w:lvlText w:val="-"/>
      <w:lvlJc w:val="left"/>
      <w:pPr>
        <w:ind w:left="420" w:hanging="420"/>
      </w:pPr>
      <w:rPr>
        <w:rFonts w:ascii="Times New Roman" w:eastAsia="SimSun"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52AE32B7"/>
    <w:multiLevelType w:val="hybridMultilevel"/>
    <w:tmpl w:val="B254CFAA"/>
    <w:lvl w:ilvl="0" w:tplc="8DEE71CC">
      <w:numFmt w:val="bullet"/>
      <w:lvlText w:val="-"/>
      <w:lvlJc w:val="left"/>
      <w:pPr>
        <w:ind w:left="420" w:hanging="420"/>
      </w:pPr>
      <w:rPr>
        <w:rFonts w:ascii="Times New Roman" w:eastAsia="SimSun" w:hAnsi="Times New Roman" w:cs="Times New Roman" w:hint="default"/>
      </w:rPr>
    </w:lvl>
    <w:lvl w:ilvl="1" w:tplc="8DEE71CC">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5"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A446E9B"/>
    <w:multiLevelType w:val="hybridMultilevel"/>
    <w:tmpl w:val="0E5086AE"/>
    <w:lvl w:ilvl="0" w:tplc="360A9DBC">
      <w:start w:val="1"/>
      <w:numFmt w:val="bullet"/>
      <w:lvlText w:val="•"/>
      <w:lvlJc w:val="left"/>
      <w:pPr>
        <w:tabs>
          <w:tab w:val="num" w:pos="720"/>
        </w:tabs>
        <w:ind w:left="720" w:hanging="360"/>
      </w:pPr>
      <w:rPr>
        <w:rFonts w:ascii="Arial" w:hAnsi="Arial" w:hint="default"/>
      </w:rPr>
    </w:lvl>
    <w:lvl w:ilvl="1" w:tplc="A948DF78">
      <w:start w:val="1121"/>
      <w:numFmt w:val="bullet"/>
      <w:lvlText w:val="-"/>
      <w:lvlJc w:val="left"/>
      <w:pPr>
        <w:tabs>
          <w:tab w:val="num" w:pos="1440"/>
        </w:tabs>
        <w:ind w:left="1440" w:hanging="360"/>
      </w:pPr>
      <w:rPr>
        <w:rFonts w:ascii="Calibri" w:hAnsi="Calibri" w:hint="default"/>
      </w:rPr>
    </w:lvl>
    <w:lvl w:ilvl="2" w:tplc="782E0732">
      <w:start w:val="1"/>
      <w:numFmt w:val="bullet"/>
      <w:lvlText w:val="•"/>
      <w:lvlJc w:val="left"/>
      <w:pPr>
        <w:tabs>
          <w:tab w:val="num" w:pos="2160"/>
        </w:tabs>
        <w:ind w:left="2160" w:hanging="360"/>
      </w:pPr>
      <w:rPr>
        <w:rFonts w:ascii="Arial" w:hAnsi="Arial" w:hint="default"/>
      </w:rPr>
    </w:lvl>
    <w:lvl w:ilvl="3" w:tplc="8788F01E" w:tentative="1">
      <w:start w:val="1"/>
      <w:numFmt w:val="bullet"/>
      <w:lvlText w:val="•"/>
      <w:lvlJc w:val="left"/>
      <w:pPr>
        <w:tabs>
          <w:tab w:val="num" w:pos="2880"/>
        </w:tabs>
        <w:ind w:left="2880" w:hanging="360"/>
      </w:pPr>
      <w:rPr>
        <w:rFonts w:ascii="Arial" w:hAnsi="Arial" w:hint="default"/>
      </w:rPr>
    </w:lvl>
    <w:lvl w:ilvl="4" w:tplc="5AC6EE3E" w:tentative="1">
      <w:start w:val="1"/>
      <w:numFmt w:val="bullet"/>
      <w:lvlText w:val="•"/>
      <w:lvlJc w:val="left"/>
      <w:pPr>
        <w:tabs>
          <w:tab w:val="num" w:pos="3600"/>
        </w:tabs>
        <w:ind w:left="3600" w:hanging="360"/>
      </w:pPr>
      <w:rPr>
        <w:rFonts w:ascii="Arial" w:hAnsi="Arial" w:hint="default"/>
      </w:rPr>
    </w:lvl>
    <w:lvl w:ilvl="5" w:tplc="49688540" w:tentative="1">
      <w:start w:val="1"/>
      <w:numFmt w:val="bullet"/>
      <w:lvlText w:val="•"/>
      <w:lvlJc w:val="left"/>
      <w:pPr>
        <w:tabs>
          <w:tab w:val="num" w:pos="4320"/>
        </w:tabs>
        <w:ind w:left="4320" w:hanging="360"/>
      </w:pPr>
      <w:rPr>
        <w:rFonts w:ascii="Arial" w:hAnsi="Arial" w:hint="default"/>
      </w:rPr>
    </w:lvl>
    <w:lvl w:ilvl="6" w:tplc="8AC87D06" w:tentative="1">
      <w:start w:val="1"/>
      <w:numFmt w:val="bullet"/>
      <w:lvlText w:val="•"/>
      <w:lvlJc w:val="left"/>
      <w:pPr>
        <w:tabs>
          <w:tab w:val="num" w:pos="5040"/>
        </w:tabs>
        <w:ind w:left="5040" w:hanging="360"/>
      </w:pPr>
      <w:rPr>
        <w:rFonts w:ascii="Arial" w:hAnsi="Arial" w:hint="default"/>
      </w:rPr>
    </w:lvl>
    <w:lvl w:ilvl="7" w:tplc="CA8E3164" w:tentative="1">
      <w:start w:val="1"/>
      <w:numFmt w:val="bullet"/>
      <w:lvlText w:val="•"/>
      <w:lvlJc w:val="left"/>
      <w:pPr>
        <w:tabs>
          <w:tab w:val="num" w:pos="5760"/>
        </w:tabs>
        <w:ind w:left="5760" w:hanging="360"/>
      </w:pPr>
      <w:rPr>
        <w:rFonts w:ascii="Arial" w:hAnsi="Arial" w:hint="default"/>
      </w:rPr>
    </w:lvl>
    <w:lvl w:ilvl="8" w:tplc="25BE49B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E8C0304"/>
    <w:multiLevelType w:val="hybridMultilevel"/>
    <w:tmpl w:val="B3CE577C"/>
    <w:lvl w:ilvl="0" w:tplc="ED488C5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2"/>
  </w:num>
  <w:num w:numId="3">
    <w:abstractNumId w:val="27"/>
  </w:num>
  <w:num w:numId="4">
    <w:abstractNumId w:val="38"/>
  </w:num>
  <w:num w:numId="5">
    <w:abstractNumId w:val="1"/>
  </w:num>
  <w:num w:numId="6">
    <w:abstractNumId w:val="37"/>
  </w:num>
  <w:num w:numId="7">
    <w:abstractNumId w:val="18"/>
  </w:num>
  <w:num w:numId="8">
    <w:abstractNumId w:val="30"/>
  </w:num>
  <w:num w:numId="9">
    <w:abstractNumId w:val="40"/>
  </w:num>
  <w:num w:numId="10">
    <w:abstractNumId w:val="13"/>
  </w:num>
  <w:num w:numId="11">
    <w:abstractNumId w:val="9"/>
  </w:num>
  <w:num w:numId="12">
    <w:abstractNumId w:val="5"/>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9"/>
  </w:num>
  <w:num w:numId="17">
    <w:abstractNumId w:val="11"/>
  </w:num>
  <w:num w:numId="18">
    <w:abstractNumId w:val="21"/>
  </w:num>
  <w:num w:numId="19">
    <w:abstractNumId w:val="26"/>
  </w:num>
  <w:num w:numId="20">
    <w:abstractNumId w:val="24"/>
  </w:num>
  <w:num w:numId="21">
    <w:abstractNumId w:val="15"/>
  </w:num>
  <w:num w:numId="22">
    <w:abstractNumId w:val="6"/>
  </w:num>
  <w:num w:numId="23">
    <w:abstractNumId w:val="23"/>
  </w:num>
  <w:num w:numId="24">
    <w:abstractNumId w:val="35"/>
  </w:num>
  <w:num w:numId="25">
    <w:abstractNumId w:val="9"/>
  </w:num>
  <w:num w:numId="26">
    <w:abstractNumId w:val="34"/>
  </w:num>
  <w:num w:numId="27">
    <w:abstractNumId w:val="33"/>
  </w:num>
  <w:num w:numId="28">
    <w:abstractNumId w:val="19"/>
  </w:num>
  <w:num w:numId="29">
    <w:abstractNumId w:val="39"/>
  </w:num>
  <w:num w:numId="30">
    <w:abstractNumId w:val="28"/>
  </w:num>
  <w:num w:numId="31">
    <w:abstractNumId w:val="17"/>
  </w:num>
  <w:num w:numId="32">
    <w:abstractNumId w:val="31"/>
  </w:num>
  <w:num w:numId="33">
    <w:abstractNumId w:val="7"/>
  </w:num>
  <w:num w:numId="34">
    <w:abstractNumId w:val="10"/>
  </w:num>
  <w:num w:numId="35">
    <w:abstractNumId w:val="32"/>
  </w:num>
  <w:num w:numId="36">
    <w:abstractNumId w:val="20"/>
  </w:num>
  <w:num w:numId="37">
    <w:abstractNumId w:val="8"/>
  </w:num>
  <w:num w:numId="38">
    <w:abstractNumId w:val="29"/>
  </w:num>
  <w:num w:numId="39">
    <w:abstractNumId w:val="4"/>
  </w:num>
  <w:num w:numId="40">
    <w:abstractNumId w:val="25"/>
  </w:num>
  <w:num w:numId="41">
    <w:abstractNumId w:val="16"/>
  </w:num>
  <w:num w:numId="42">
    <w:abstractNumId w:val="14"/>
  </w:num>
  <w:num w:numId="43">
    <w:abstractNumId w:val="36"/>
  </w:num>
  <w:num w:numId="44">
    <w:abstractNumId w:val="3"/>
  </w:num>
  <w:num w:numId="45">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5E6D"/>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46D"/>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96B"/>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63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37F6"/>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093A"/>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2E3"/>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640"/>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C2"/>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276B"/>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22"/>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2DDC"/>
    <w:rsid w:val="008534EF"/>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47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484"/>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07FC8"/>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36FB9"/>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97BE3"/>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5BD9"/>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1A1"/>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D7D3C"/>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4">
    <w:name w:val="标题4"/>
    <w:basedOn w:val="Normal"/>
    <w:rsid w:val="00DE5BD9"/>
    <w:pPr>
      <w:numPr>
        <w:numId w:val="44"/>
      </w:numPr>
      <w:overflowPunct/>
      <w:autoSpaceDE/>
      <w:autoSpaceDN/>
      <w:adjustRightInd/>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08959844">
      <w:bodyDiv w:val="1"/>
      <w:marLeft w:val="0"/>
      <w:marRight w:val="0"/>
      <w:marTop w:val="0"/>
      <w:marBottom w:val="0"/>
      <w:divBdr>
        <w:top w:val="none" w:sz="0" w:space="0" w:color="auto"/>
        <w:left w:val="none" w:sz="0" w:space="0" w:color="auto"/>
        <w:bottom w:val="none" w:sz="0" w:space="0" w:color="auto"/>
        <w:right w:val="none" w:sz="0" w:space="0" w:color="auto"/>
      </w:divBdr>
      <w:divsChild>
        <w:div w:id="446046933">
          <w:marLeft w:val="0"/>
          <w:marRight w:val="0"/>
          <w:marTop w:val="0"/>
          <w:marBottom w:val="0"/>
          <w:divBdr>
            <w:top w:val="none" w:sz="0" w:space="0" w:color="auto"/>
            <w:left w:val="none" w:sz="0" w:space="0" w:color="auto"/>
            <w:bottom w:val="none" w:sz="0" w:space="0" w:color="auto"/>
            <w:right w:val="none" w:sz="0" w:space="0" w:color="auto"/>
          </w:divBdr>
        </w:div>
      </w:divsChild>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4DB18B-EDBD-43E5-AF1F-B0B94E9D5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154</TotalTime>
  <Pages>2</Pages>
  <Words>611</Words>
  <Characters>3486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4089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jinwang (A)</cp:lastModifiedBy>
  <cp:revision>13</cp:revision>
  <cp:lastPrinted>2010-01-07T02:23:00Z</cp:lastPrinted>
  <dcterms:created xsi:type="dcterms:W3CDTF">2021-01-13T08:54:00Z</dcterms:created>
  <dcterms:modified xsi:type="dcterms:W3CDTF">2021-01-15T16:06:00Z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(3)bjMradR95CJwWdjC3k+kbWvzyFWho6UvqgYlbQhu3Ov6IQtrVwxrOtO7SewhOI0gfhA4DoTz
OBl+eNM7BVyOdJbPAo6yM6nGM2UdaxB3DoVnAHfcvhSUavD30IaAaV/zvFGsgdWslbMOibsa
nPqoA2xAaAxnvNbtt9uxIASHBwhgzUZuusbNZdMzvCd12r2nEcNZ266ndq244vDYwhCqhv4q
N7siyxDAkkTQe08OSp</vt:lpwstr>
  </property>
  <property fmtid="{D5CDD505-2E9C-101B-9397-08002B2CF9AE}" pid="15" name="_2015_ms_pID_725343_00">
    <vt:lpwstr>_2015_ms_pID_725343</vt:lpwstr>
  </property>
  <property fmtid="{D5CDD505-2E9C-101B-9397-08002B2CF9AE}" pid="16" name="_2015_ms_pID_7253431">
    <vt:lpwstr>3+vzulXhARRATxxa+3hGnK8HOh++NMrtEKSOMora6rCSAbQsW+SmnT
OfQZrLjze5TUo94KajhqThjJh5vSWqqtMsexxzhCoV1QXrPaKsoOU+XrAhRFnOZfLA7PZyww
P1dRpK1Nvr8LjvF/ngPYvrWsaVHzlRkwVtMqawXS7n2G+Edfqcug19MUUdqqo222b1AMy/FB
1w4QhdhMHLcU3XUE8PuE7lWC3HVnDxzKGQd9</vt:lpwstr>
  </property>
  <property fmtid="{D5CDD505-2E9C-101B-9397-08002B2CF9AE}" pid="17" name="_2015_ms_pID_7253431_00">
    <vt:lpwstr>_2015_ms_pID_7253431</vt:lpwstr>
  </property>
  <property fmtid="{D5CDD505-2E9C-101B-9397-08002B2CF9AE}" pid="18" name="_2015_ms_pID_7253432">
    <vt:lpwstr>IcAESGCfXXx0CpZrHaQz+Tk=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1610702454</vt:lpwstr>
  </property>
</Properties>
</file>